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RPr="00707EF7" w:rsidTr="00EB35BF">
        <w:tc>
          <w:tcPr>
            <w:tcW w:w="6516" w:type="dxa"/>
          </w:tcPr>
          <w:p w:rsidR="00EB35BF" w:rsidRPr="00707EF7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29" w:type="dxa"/>
          </w:tcPr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Pr="00707EF7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A32A01" w:rsidRPr="00707E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 w:rsidR="00A32A01" w:rsidRPr="00707EF7">
              <w:rPr>
                <w:rFonts w:ascii="Times New Roman" w:hAnsi="Times New Roman" w:cs="Times New Roman"/>
                <w:sz w:val="24"/>
                <w:szCs w:val="24"/>
              </w:rPr>
              <w:t xml:space="preserve"> по Ульяновской области</w:t>
            </w:r>
          </w:p>
          <w:p w:rsidR="007F65D9" w:rsidRDefault="00EB35BF" w:rsidP="007F65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F65D9">
              <w:rPr>
                <w:rFonts w:ascii="Times New Roman" w:hAnsi="Times New Roman" w:cs="Times New Roman"/>
                <w:sz w:val="24"/>
                <w:szCs w:val="24"/>
              </w:rPr>
              <w:t>28.02.2022</w:t>
            </w:r>
          </w:p>
          <w:p w:rsidR="00EB35BF" w:rsidRPr="007F65D9" w:rsidRDefault="00EB35BF" w:rsidP="007F65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F65D9">
              <w:rPr>
                <w:rFonts w:ascii="Times New Roman" w:hAnsi="Times New Roman" w:cs="Times New Roman"/>
                <w:sz w:val="24"/>
                <w:szCs w:val="24"/>
              </w:rPr>
              <w:t>01-02/011</w:t>
            </w:r>
            <w:r w:rsidR="007F65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</w:p>
        </w:tc>
      </w:tr>
    </w:tbl>
    <w:p w:rsidR="00EB35BF" w:rsidRPr="00707EF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707EF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707EF7" w:rsidRDefault="009A022C" w:rsidP="008C3F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7EF7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 w:rsidRPr="00707EF7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74798D" w:rsidRPr="00707EF7">
        <w:rPr>
          <w:rFonts w:ascii="Times New Roman" w:hAnsi="Times New Roman" w:cs="Times New Roman"/>
          <w:b/>
          <w:sz w:val="32"/>
          <w:szCs w:val="32"/>
        </w:rPr>
        <w:t>утверждённой</w:t>
      </w:r>
      <w:r w:rsidR="002E361F" w:rsidRPr="00707EF7">
        <w:rPr>
          <w:rFonts w:ascii="Times New Roman" w:hAnsi="Times New Roman" w:cs="Times New Roman"/>
          <w:b/>
          <w:sz w:val="32"/>
          <w:szCs w:val="32"/>
        </w:rPr>
        <w:t xml:space="preserve"> Методики </w:t>
      </w:r>
      <w:r w:rsidR="008C3FED" w:rsidRPr="008C3FED">
        <w:rPr>
          <w:rFonts w:ascii="Times New Roman" w:hAnsi="Times New Roman" w:cs="Times New Roman"/>
          <w:b/>
          <w:sz w:val="32"/>
          <w:szCs w:val="32"/>
        </w:rPr>
        <w:t>прогнозирования поступлений доходов</w:t>
      </w:r>
      <w:r w:rsidR="008C3FE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C3FED" w:rsidRPr="008C3FED">
        <w:rPr>
          <w:rFonts w:ascii="Times New Roman" w:hAnsi="Times New Roman" w:cs="Times New Roman"/>
          <w:b/>
          <w:sz w:val="32"/>
          <w:szCs w:val="32"/>
        </w:rPr>
        <w:t>в консолидированный бюджет Ульяновской области</w:t>
      </w:r>
    </w:p>
    <w:p w:rsidR="009A022C" w:rsidRPr="00707EF7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Методика прогнозирования поступлений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на текущий год, очередной финансовый год и </w:t>
      </w:r>
      <w:proofErr w:type="gramStart"/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плановый период (далее – Методика) разработана в целях реализации 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>ФНС России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 xml:space="preserve"> по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полномочий главного администратора доходов консолидированного 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>бюджета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с учётом основных направлений бюджетной и налоговой политики на очередной финансовый год и плановый период.</w:t>
      </w:r>
      <w:proofErr w:type="gramEnd"/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применяются следующие методы прогнозирования: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макроэкономические показатели прогноза социально-экономического развития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, разрабатываемые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АНО «Центр стратегических исследований Ульяновской области»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Для расчета прогнозируемых поступлений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показатели форм статистической налоговой отчетности (о начислении, поступлении налогов, о задолженности по 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707EF7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707EF7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НК РФ </w:t>
      </w:r>
      <w:r w:rsidR="00370FF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Налоговый кодекс Российской Федерации;</w:t>
      </w: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БК РФ – Бюджетный кодекс Российской Федерации;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КОАП – Кодекс Российской Федерации об административных правонарушениях</w:t>
      </w:r>
      <w:r w:rsidR="00316E4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УК РФ – Уголовный кодекс Российской Федерации;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РФ – Российская Федерация;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ПП РФ </w:t>
      </w:r>
      <w:proofErr w:type="gramStart"/>
      <w:r w:rsidRPr="00707EF7">
        <w:rPr>
          <w:rFonts w:ascii="Times New Roman" w:hAnsi="Times New Roman" w:cs="Times New Roman"/>
          <w:sz w:val="27"/>
          <w:szCs w:val="27"/>
        </w:rPr>
        <w:t>–п</w:t>
      </w:r>
      <w:proofErr w:type="gramEnd"/>
      <w:r w:rsidRPr="00707EF7">
        <w:rPr>
          <w:rFonts w:ascii="Times New Roman" w:hAnsi="Times New Roman" w:cs="Times New Roman"/>
          <w:sz w:val="27"/>
          <w:szCs w:val="27"/>
        </w:rPr>
        <w:t>остановление Правительства Российской Федерации;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hAnsi="Times New Roman" w:cs="Times New Roman"/>
          <w:sz w:val="27"/>
          <w:szCs w:val="27"/>
        </w:rPr>
        <w:t>- ДФО – Дальневосточный федеральный округ;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СЗФО – Северо-Западный федеральный округ</w:t>
      </w:r>
      <w:r w:rsidR="00316E4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ФК – Федеральное казначейство;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СД при ВС РФ – Судебный Департамент при Верховном Суде Российской Федерации; 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СНГ – Содружества Независимых Государств;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- ОПС – обязательное пенсионное страхование;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НПА – нормативно-правовые акты;</w:t>
      </w: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Показатели СЭР – показатели прогноза социально-экономического развития 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>Ульяновской области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на очередной финансовый год и плановый период, разрабатываемые 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>АНО «Центр стратегических исследований Ульяновской области»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- В</w:t>
      </w:r>
      <w:r w:rsidR="00DC44BB" w:rsidRPr="00707EF7">
        <w:rPr>
          <w:rFonts w:ascii="Times New Roman" w:hAnsi="Times New Roman" w:cs="Times New Roman"/>
          <w:sz w:val="27"/>
          <w:szCs w:val="27"/>
        </w:rPr>
        <w:t>Р</w:t>
      </w:r>
      <w:r w:rsidRPr="00707EF7">
        <w:rPr>
          <w:rFonts w:ascii="Times New Roman" w:hAnsi="Times New Roman" w:cs="Times New Roman"/>
          <w:sz w:val="27"/>
          <w:szCs w:val="27"/>
        </w:rPr>
        <w:t xml:space="preserve">П – валовый </w:t>
      </w:r>
      <w:r w:rsidR="00DC44BB" w:rsidRPr="00707EF7">
        <w:rPr>
          <w:rFonts w:ascii="Times New Roman" w:hAnsi="Times New Roman" w:cs="Times New Roman"/>
          <w:sz w:val="27"/>
          <w:szCs w:val="27"/>
        </w:rPr>
        <w:t>региональный</w:t>
      </w:r>
      <w:r w:rsidRPr="00707EF7">
        <w:rPr>
          <w:rFonts w:ascii="Times New Roman" w:hAnsi="Times New Roman" w:cs="Times New Roman"/>
          <w:sz w:val="27"/>
          <w:szCs w:val="27"/>
        </w:rPr>
        <w:t xml:space="preserve"> продукт;</w:t>
      </w:r>
    </w:p>
    <w:p w:rsidR="0041312C" w:rsidRPr="00707EF7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ФЗП –</w:t>
      </w:r>
      <w:r w:rsidR="0032652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фонд заработной платы;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ИПЦ – индекс потребительских цен; 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ЕСГ – Единая система газоснабжения;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СРП – Соглашение о разделе продукции;</w:t>
      </w:r>
    </w:p>
    <w:p w:rsidR="00326525" w:rsidRPr="00707EF7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326525" w:rsidRPr="00707EF7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ЕГРИП – Единый государственный реестр индивидуальных предпринимателей; </w:t>
      </w:r>
    </w:p>
    <w:p w:rsidR="00326525" w:rsidRPr="00707EF7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КБК – код бюджетной классификации; </w:t>
      </w:r>
    </w:p>
    <w:p w:rsidR="00326525" w:rsidRPr="00707EF7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СВУ – субъекты внутриведомственного управления</w:t>
      </w:r>
      <w:r w:rsidR="00123BF1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- ВБР – водно-биологические ресурсы;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</w:t>
      </w:r>
      <w:proofErr w:type="gramStart"/>
      <w:r w:rsidRPr="00707EF7">
        <w:rPr>
          <w:rFonts w:ascii="Times New Roman" w:hAnsi="Times New Roman" w:cs="Times New Roman"/>
          <w:sz w:val="27"/>
          <w:szCs w:val="27"/>
        </w:rPr>
        <w:t>ВО</w:t>
      </w:r>
      <w:proofErr w:type="gramEnd"/>
      <w:r w:rsidRPr="00707EF7">
        <w:rPr>
          <w:rFonts w:ascii="Times New Roman" w:hAnsi="Times New Roman" w:cs="Times New Roman"/>
          <w:sz w:val="27"/>
          <w:szCs w:val="27"/>
        </w:rPr>
        <w:t xml:space="preserve"> – водные объекты;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- ВВО – внутренние водные объекты;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Госпошлина – государственная пошлина;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КТС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</w:t>
      </w:r>
      <w:r w:rsidRPr="00707EF7">
        <w:rPr>
          <w:rFonts w:ascii="Times New Roman" w:hAnsi="Times New Roman" w:cs="Times New Roman"/>
          <w:sz w:val="27"/>
          <w:szCs w:val="27"/>
        </w:rPr>
        <w:t xml:space="preserve"> колесные транспортные средства;</w:t>
      </w: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lastRenderedPageBreak/>
        <w:t>- НДС – налог на добавленную стоимость;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ТС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</w:t>
      </w:r>
      <w:r w:rsidRPr="00707EF7">
        <w:rPr>
          <w:rFonts w:ascii="Times New Roman" w:hAnsi="Times New Roman" w:cs="Times New Roman"/>
          <w:sz w:val="27"/>
          <w:szCs w:val="27"/>
        </w:rPr>
        <w:t xml:space="preserve"> транспортные средства;</w:t>
      </w:r>
    </w:p>
    <w:p w:rsidR="0006665B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</w:t>
      </w:r>
      <w:r w:rsidR="0006665B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тчет 1-НМ – статистическая налоговая отчетность по форме № 1-НМ «</w:t>
      </w:r>
      <w:r w:rsidR="00675BF4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C501CC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</w:t>
      </w:r>
      <w:r w:rsidR="00C501C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</w:t>
      </w:r>
      <w:r w:rsidR="00C501C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 4-НМ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статистическая налоговая отче</w:t>
      </w:r>
      <w:r w:rsidR="00C501C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отчет 5-П – статистическая налоговая отчетность по 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5-П «Отчет о налоговой базе и структуре начислений по налогу на прибыль организаций»;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отчет 5-НДФЛ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рживаемому налоговыми агентами»;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отчет 5-ДДК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–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5-АЛ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-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5-НП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-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5-АМ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-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5-АМ «Отче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 о налоговой базе и структуре начислений по акцизам на автомобили легковые и мотоциклы»;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5-МН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5-НИО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5-ТН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№ 5-ТН «Отчет о налоговой базе и структуре начи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слений по транспортному налогу»;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отчет 5-ИБ – статистическая налоговая отчетность по форме №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5-ИБ «Отче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 о налоговой базе и структуре начислений по налогу на игорный бизнес»;</w:t>
      </w:r>
    </w:p>
    <w:p w:rsidR="00712FD8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</w:t>
      </w:r>
      <w:r w:rsidR="005A33C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</w:t>
      </w:r>
      <w:r w:rsidR="005A33C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 5-НДПИ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статистическая налоговая отче</w:t>
      </w:r>
      <w:r w:rsidR="005A33C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5-НДПИ «Отче</w:t>
      </w:r>
      <w:r w:rsidR="005A33C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707EF7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отчет 5-ЖМ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№ 5-ЖМ</w:t>
      </w:r>
      <w:r w:rsidR="00886894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«О</w:t>
      </w:r>
      <w:r w:rsidR="004C0DF9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тчет о</w:t>
      </w:r>
      <w:r w:rsidR="00886894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F609E1" w:rsidRPr="00707EF7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отчет 5-ВБР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–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№ 5-ВБР «О</w:t>
      </w:r>
      <w:r w:rsidR="004C0DF9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тчет о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5A2DF1" w:rsidRPr="00707EF7" w:rsidRDefault="00900D1A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отчет 5-ТС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 статистическая налоговая отчетность по форме № 5-ТС «Отчет о структуре начислений по торговому сбору»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370FF8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lastRenderedPageBreak/>
        <w:t>- о</w:t>
      </w:r>
      <w:r w:rsidR="00712FD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тчет ВП –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статистическая налоговая отчетность по форме № ВП </w:t>
      </w:r>
      <w:r w:rsidR="00712FD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«Сведения о результатах проверок налогоплательщиков по вопросам соблюдения закон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одательства о налогах и сборах».</w:t>
      </w:r>
    </w:p>
    <w:sectPr w:rsidR="00370FF8" w:rsidRPr="00707EF7" w:rsidSect="00A32A01">
      <w:headerReference w:type="default" r:id="rId7"/>
      <w:pgSz w:w="11906" w:h="16838"/>
      <w:pgMar w:top="568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483" w:rsidRDefault="00392483" w:rsidP="00104478">
      <w:pPr>
        <w:spacing w:after="0" w:line="240" w:lineRule="auto"/>
      </w:pPr>
      <w:r>
        <w:separator/>
      </w:r>
    </w:p>
  </w:endnote>
  <w:endnote w:type="continuationSeparator" w:id="0">
    <w:p w:rsidR="00392483" w:rsidRDefault="00392483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483" w:rsidRDefault="00392483" w:rsidP="00104478">
      <w:pPr>
        <w:spacing w:after="0" w:line="240" w:lineRule="auto"/>
      </w:pPr>
      <w:r>
        <w:separator/>
      </w:r>
    </w:p>
  </w:footnote>
  <w:footnote w:type="continuationSeparator" w:id="0">
    <w:p w:rsidR="00392483" w:rsidRDefault="00392483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04478" w:rsidRPr="00104478" w:rsidRDefault="00104478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7F65D9">
          <w:rPr>
            <w:rFonts w:ascii="Times New Roman" w:hAnsi="Times New Roman" w:cs="Times New Roman"/>
            <w:noProof/>
          </w:rPr>
          <w:t>4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104478" w:rsidRDefault="001044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D74A0"/>
    <w:rsid w:val="00104478"/>
    <w:rsid w:val="00123BF1"/>
    <w:rsid w:val="001B414C"/>
    <w:rsid w:val="001E360E"/>
    <w:rsid w:val="0029264D"/>
    <w:rsid w:val="002E361F"/>
    <w:rsid w:val="00316E4C"/>
    <w:rsid w:val="00326525"/>
    <w:rsid w:val="00331426"/>
    <w:rsid w:val="00370FF8"/>
    <w:rsid w:val="00392483"/>
    <w:rsid w:val="003C1D19"/>
    <w:rsid w:val="003D6C4D"/>
    <w:rsid w:val="0041312C"/>
    <w:rsid w:val="00415D35"/>
    <w:rsid w:val="004C0DF9"/>
    <w:rsid w:val="004D63BF"/>
    <w:rsid w:val="00505185"/>
    <w:rsid w:val="00512F6E"/>
    <w:rsid w:val="005154BF"/>
    <w:rsid w:val="005A2DF1"/>
    <w:rsid w:val="005A33C5"/>
    <w:rsid w:val="005B649E"/>
    <w:rsid w:val="005F032F"/>
    <w:rsid w:val="00675BF4"/>
    <w:rsid w:val="006A24AA"/>
    <w:rsid w:val="006F4596"/>
    <w:rsid w:val="00707EF7"/>
    <w:rsid w:val="00712FD8"/>
    <w:rsid w:val="00731B71"/>
    <w:rsid w:val="0074798D"/>
    <w:rsid w:val="007915E4"/>
    <w:rsid w:val="007B7045"/>
    <w:rsid w:val="007F65D9"/>
    <w:rsid w:val="00842B96"/>
    <w:rsid w:val="008655CD"/>
    <w:rsid w:val="00886894"/>
    <w:rsid w:val="008953E5"/>
    <w:rsid w:val="008B7334"/>
    <w:rsid w:val="008C3FED"/>
    <w:rsid w:val="008F46CA"/>
    <w:rsid w:val="00900D1A"/>
    <w:rsid w:val="009669AE"/>
    <w:rsid w:val="009A022C"/>
    <w:rsid w:val="00A021ED"/>
    <w:rsid w:val="00A32A01"/>
    <w:rsid w:val="00A62D14"/>
    <w:rsid w:val="00AB6F18"/>
    <w:rsid w:val="00B87F00"/>
    <w:rsid w:val="00BC0D62"/>
    <w:rsid w:val="00C004D9"/>
    <w:rsid w:val="00C501CC"/>
    <w:rsid w:val="00C81D01"/>
    <w:rsid w:val="00DC44BB"/>
    <w:rsid w:val="00E9570D"/>
    <w:rsid w:val="00EB35BF"/>
    <w:rsid w:val="00EF787C"/>
    <w:rsid w:val="00F15EDA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8C3F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C3F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8C3F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C3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202</cp:lastModifiedBy>
  <cp:revision>22</cp:revision>
  <dcterms:created xsi:type="dcterms:W3CDTF">2021-12-29T13:26:00Z</dcterms:created>
  <dcterms:modified xsi:type="dcterms:W3CDTF">2022-03-09T11:09:00Z</dcterms:modified>
</cp:coreProperties>
</file>